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AB20" w14:textId="77777777" w:rsidR="00175576" w:rsidRDefault="00810ADE">
      <w:pPr>
        <w:widowControl w:val="0"/>
        <w:spacing w:after="0" w:line="240" w:lineRule="auto"/>
        <w:jc w:val="center"/>
        <w:rPr>
          <w:rFonts w:ascii="Arial" w:eastAsia="SimSun" w:hAnsi="Arial" w:cs="Lucida Sans"/>
          <w:b/>
          <w:bCs/>
          <w:kern w:val="3"/>
          <w:sz w:val="24"/>
          <w:szCs w:val="24"/>
          <w:lang w:eastAsia="zh-CN" w:bidi="hi-IN"/>
        </w:rPr>
      </w:pPr>
      <w:r>
        <w:rPr>
          <w:rFonts w:ascii="Arial" w:eastAsia="SimSun" w:hAnsi="Arial" w:cs="Lucida Sans"/>
          <w:b/>
          <w:bCs/>
          <w:kern w:val="3"/>
          <w:sz w:val="24"/>
          <w:szCs w:val="24"/>
          <w:lang w:eastAsia="zh-CN" w:bidi="hi-IN"/>
        </w:rPr>
        <w:t>AYUDAS Y SUBVENCIONES PÚBLICAS</w:t>
      </w:r>
    </w:p>
    <w:p w14:paraId="03D4DB79" w14:textId="77777777" w:rsidR="00175576" w:rsidRDefault="00175576">
      <w:pPr>
        <w:widowControl w:val="0"/>
        <w:spacing w:after="0" w:line="240" w:lineRule="auto"/>
        <w:jc w:val="center"/>
        <w:rPr>
          <w:rFonts w:ascii="Arial" w:eastAsia="SimSun" w:hAnsi="Arial" w:cs="Lucida Sans"/>
          <w:kern w:val="3"/>
          <w:sz w:val="18"/>
          <w:szCs w:val="18"/>
          <w:lang w:eastAsia="zh-CN" w:bidi="hi-IN"/>
        </w:rPr>
      </w:pPr>
    </w:p>
    <w:tbl>
      <w:tblPr>
        <w:tblW w:w="16250" w:type="dxa"/>
        <w:tblInd w:w="-759" w:type="dxa"/>
        <w:tblLayout w:type="fixed"/>
        <w:tblCellMar>
          <w:left w:w="10" w:type="dxa"/>
          <w:right w:w="10" w:type="dxa"/>
        </w:tblCellMar>
        <w:tblLook w:val="0000" w:firstRow="0" w:lastRow="0" w:firstColumn="0" w:lastColumn="0" w:noHBand="0" w:noVBand="0"/>
      </w:tblPr>
      <w:tblGrid>
        <w:gridCol w:w="2549"/>
        <w:gridCol w:w="4150"/>
        <w:gridCol w:w="1175"/>
        <w:gridCol w:w="2700"/>
        <w:gridCol w:w="5676"/>
      </w:tblGrid>
      <w:tr w:rsidR="00175576" w14:paraId="7BBCDD18" w14:textId="77777777">
        <w:tblPrEx>
          <w:tblCellMar>
            <w:top w:w="0" w:type="dxa"/>
            <w:bottom w:w="0" w:type="dxa"/>
          </w:tblCellMar>
        </w:tblPrEx>
        <w:tc>
          <w:tcPr>
            <w:tcW w:w="2549" w:type="dxa"/>
            <w:tcBorders>
              <w:top w:val="single" w:sz="2" w:space="0" w:color="000000"/>
              <w:left w:val="single" w:sz="2" w:space="0" w:color="000000"/>
              <w:bottom w:val="single" w:sz="2" w:space="0" w:color="000000"/>
            </w:tcBorders>
            <w:shd w:val="clear" w:color="auto" w:fill="FF9900"/>
            <w:tcMar>
              <w:top w:w="55" w:type="dxa"/>
              <w:left w:w="55" w:type="dxa"/>
              <w:bottom w:w="55" w:type="dxa"/>
              <w:right w:w="55" w:type="dxa"/>
            </w:tcMar>
          </w:tcPr>
          <w:p w14:paraId="17F4535A" w14:textId="77777777" w:rsidR="00175576" w:rsidRDefault="00810ADE">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ADMINSTRACIÓN CONCEDENTE</w:t>
            </w:r>
          </w:p>
        </w:tc>
        <w:tc>
          <w:tcPr>
            <w:tcW w:w="4150" w:type="dxa"/>
            <w:tcBorders>
              <w:top w:val="single" w:sz="2" w:space="0" w:color="000000"/>
              <w:left w:val="single" w:sz="2" w:space="0" w:color="000000"/>
              <w:bottom w:val="single" w:sz="2" w:space="0" w:color="000000"/>
            </w:tcBorders>
            <w:shd w:val="clear" w:color="auto" w:fill="FF9900"/>
            <w:tcMar>
              <w:top w:w="55" w:type="dxa"/>
              <w:left w:w="55" w:type="dxa"/>
              <w:bottom w:w="55" w:type="dxa"/>
              <w:right w:w="55" w:type="dxa"/>
            </w:tcMar>
          </w:tcPr>
          <w:p w14:paraId="132E657C" w14:textId="77777777" w:rsidR="00175576" w:rsidRDefault="00810ADE">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RESOLUCIÓN CONCESIÓN</w:t>
            </w:r>
          </w:p>
        </w:tc>
        <w:tc>
          <w:tcPr>
            <w:tcW w:w="1175" w:type="dxa"/>
            <w:tcBorders>
              <w:top w:val="single" w:sz="2" w:space="0" w:color="000000"/>
              <w:left w:val="single" w:sz="2" w:space="0" w:color="000000"/>
              <w:bottom w:val="single" w:sz="2" w:space="0" w:color="000000"/>
            </w:tcBorders>
            <w:shd w:val="clear" w:color="auto" w:fill="FF9900"/>
            <w:tcMar>
              <w:top w:w="55" w:type="dxa"/>
              <w:left w:w="55" w:type="dxa"/>
              <w:bottom w:w="55" w:type="dxa"/>
              <w:right w:w="55" w:type="dxa"/>
            </w:tcMar>
          </w:tcPr>
          <w:p w14:paraId="75F80BF4" w14:textId="77777777" w:rsidR="00175576" w:rsidRDefault="00810ADE">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IMPORTE</w:t>
            </w:r>
          </w:p>
        </w:tc>
        <w:tc>
          <w:tcPr>
            <w:tcW w:w="2700" w:type="dxa"/>
            <w:tcBorders>
              <w:top w:val="single" w:sz="2" w:space="0" w:color="000000"/>
              <w:left w:val="single" w:sz="2" w:space="0" w:color="000000"/>
              <w:bottom w:val="single" w:sz="2" w:space="0" w:color="000000"/>
            </w:tcBorders>
            <w:shd w:val="clear" w:color="auto" w:fill="FF9900"/>
            <w:tcMar>
              <w:top w:w="55" w:type="dxa"/>
              <w:left w:w="55" w:type="dxa"/>
              <w:bottom w:w="55" w:type="dxa"/>
              <w:right w:w="55" w:type="dxa"/>
            </w:tcMar>
          </w:tcPr>
          <w:p w14:paraId="47EF7B8A" w14:textId="77777777" w:rsidR="00175576" w:rsidRDefault="00810ADE">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NOMBRE DEL PROYECTO</w:t>
            </w:r>
          </w:p>
        </w:tc>
        <w:tc>
          <w:tcPr>
            <w:tcW w:w="5676" w:type="dxa"/>
            <w:tcBorders>
              <w:top w:val="single" w:sz="2" w:space="0" w:color="000000"/>
              <w:left w:val="single" w:sz="2" w:space="0" w:color="000000"/>
              <w:bottom w:val="single" w:sz="2" w:space="0" w:color="000000"/>
              <w:right w:val="single" w:sz="2" w:space="0" w:color="000000"/>
            </w:tcBorders>
            <w:shd w:val="clear" w:color="auto" w:fill="FF9900"/>
            <w:tcMar>
              <w:top w:w="55" w:type="dxa"/>
              <w:left w:w="55" w:type="dxa"/>
              <w:bottom w:w="55" w:type="dxa"/>
              <w:right w:w="55" w:type="dxa"/>
            </w:tcMar>
          </w:tcPr>
          <w:p w14:paraId="49632630" w14:textId="77777777" w:rsidR="00175576" w:rsidRDefault="00810ADE">
            <w:pPr>
              <w:widowControl w:val="0"/>
              <w:suppressLineNumbers/>
              <w:spacing w:after="0" w:line="240" w:lineRule="auto"/>
              <w:jc w:val="center"/>
              <w:rPr>
                <w:rFonts w:ascii="Arial" w:eastAsia="SimSun" w:hAnsi="Arial" w:cs="Lucida Sans"/>
                <w:b/>
                <w:bCs/>
                <w:kern w:val="3"/>
                <w:sz w:val="20"/>
                <w:szCs w:val="20"/>
                <w:lang w:eastAsia="zh-CN" w:bidi="hi-IN"/>
              </w:rPr>
            </w:pPr>
            <w:r>
              <w:rPr>
                <w:rFonts w:ascii="Arial" w:eastAsia="SimSun" w:hAnsi="Arial" w:cs="Lucida Sans"/>
                <w:b/>
                <w:bCs/>
                <w:kern w:val="3"/>
                <w:sz w:val="20"/>
                <w:szCs w:val="20"/>
                <w:lang w:eastAsia="zh-CN" w:bidi="hi-IN"/>
              </w:rPr>
              <w:t>OBJETO</w:t>
            </w:r>
          </w:p>
        </w:tc>
      </w:tr>
      <w:tr w:rsidR="00175576" w14:paraId="06809F38" w14:textId="77777777">
        <w:tblPrEx>
          <w:tblCellMar>
            <w:top w:w="0" w:type="dxa"/>
            <w:bottom w:w="0" w:type="dxa"/>
          </w:tblCellMar>
        </w:tblPrEx>
        <w:tc>
          <w:tcPr>
            <w:tcW w:w="2549" w:type="dxa"/>
            <w:tcBorders>
              <w:left w:val="single" w:sz="2" w:space="0" w:color="000000"/>
              <w:bottom w:val="single" w:sz="2" w:space="0" w:color="000000"/>
            </w:tcBorders>
            <w:tcMar>
              <w:top w:w="55" w:type="dxa"/>
              <w:left w:w="55" w:type="dxa"/>
              <w:bottom w:w="55" w:type="dxa"/>
              <w:right w:w="55" w:type="dxa"/>
            </w:tcMar>
          </w:tcPr>
          <w:p w14:paraId="6084A91E" w14:textId="7A0F387D" w:rsidR="00175576" w:rsidRDefault="00977614">
            <w:pPr>
              <w:widowControl w:val="0"/>
              <w:suppressLineNumbers/>
              <w:spacing w:after="0" w:line="240" w:lineRule="auto"/>
              <w:rPr>
                <w:rFonts w:ascii="Arial" w:eastAsia="SimSun" w:hAnsi="Arial" w:cs="Lucida Sans"/>
                <w:kern w:val="3"/>
                <w:sz w:val="18"/>
                <w:szCs w:val="18"/>
                <w:lang w:eastAsia="zh-CN" w:bidi="hi-IN"/>
              </w:rPr>
            </w:pPr>
            <w:r>
              <w:rPr>
                <w:rFonts w:ascii="Arial" w:eastAsia="SimSun" w:hAnsi="Arial" w:cs="Lucida Sans"/>
                <w:kern w:val="3"/>
                <w:sz w:val="18"/>
                <w:szCs w:val="18"/>
                <w:lang w:eastAsia="zh-CN" w:bidi="hi-IN"/>
              </w:rPr>
              <w:t>GOBIERNO DE CANARIAS</w:t>
            </w:r>
          </w:p>
        </w:tc>
        <w:tc>
          <w:tcPr>
            <w:tcW w:w="4150" w:type="dxa"/>
            <w:tcBorders>
              <w:left w:val="single" w:sz="2" w:space="0" w:color="000000"/>
              <w:bottom w:val="single" w:sz="2" w:space="0" w:color="000000"/>
            </w:tcBorders>
            <w:tcMar>
              <w:top w:w="55" w:type="dxa"/>
              <w:left w:w="55" w:type="dxa"/>
              <w:bottom w:w="55" w:type="dxa"/>
              <w:right w:w="55" w:type="dxa"/>
            </w:tcMar>
          </w:tcPr>
          <w:p w14:paraId="5C58CC32" w14:textId="18E27183" w:rsidR="00175576" w:rsidRDefault="00992F78">
            <w:pPr>
              <w:widowControl w:val="0"/>
              <w:suppressLineNumbers/>
              <w:spacing w:after="0" w:line="240" w:lineRule="auto"/>
            </w:pPr>
            <w:r w:rsidRPr="00992F78">
              <w:rPr>
                <w:rFonts w:ascii="Arial" w:eastAsia="SimSun" w:hAnsi="Arial" w:cs="Lucida Sans"/>
                <w:kern w:val="3"/>
                <w:sz w:val="18"/>
                <w:szCs w:val="18"/>
                <w:lang w:eastAsia="zh-CN" w:bidi="hi-IN"/>
              </w:rPr>
              <w:t xml:space="preserve">RESOLUCION - </w:t>
            </w:r>
            <w:proofErr w:type="spellStart"/>
            <w:r w:rsidRPr="00992F78">
              <w:rPr>
                <w:rFonts w:ascii="Arial" w:eastAsia="SimSun" w:hAnsi="Arial" w:cs="Lucida Sans"/>
                <w:kern w:val="3"/>
                <w:sz w:val="18"/>
                <w:szCs w:val="18"/>
                <w:lang w:eastAsia="zh-CN" w:bidi="hi-IN"/>
              </w:rPr>
              <w:t>Nº</w:t>
            </w:r>
            <w:proofErr w:type="spellEnd"/>
            <w:r w:rsidRPr="00992F78">
              <w:rPr>
                <w:rFonts w:ascii="Arial" w:eastAsia="SimSun" w:hAnsi="Arial" w:cs="Lucida Sans"/>
                <w:kern w:val="3"/>
                <w:sz w:val="18"/>
                <w:szCs w:val="18"/>
                <w:lang w:eastAsia="zh-CN" w:bidi="hi-IN"/>
              </w:rPr>
              <w:t>: 1002 / 2021 - Tomo: 1 - Libro: 69 - Fecha: 12/12/2021</w:t>
            </w:r>
            <w:r>
              <w:rPr>
                <w:rFonts w:ascii="Arial" w:eastAsia="SimSun" w:hAnsi="Arial" w:cs="Lucida Sans"/>
                <w:kern w:val="3"/>
                <w:sz w:val="18"/>
                <w:szCs w:val="18"/>
                <w:lang w:eastAsia="zh-CN" w:bidi="hi-IN"/>
              </w:rPr>
              <w:t xml:space="preserve"> de la Dirección General de Promoción Económica del Gobierno de Canarias</w:t>
            </w:r>
            <w:r w:rsidR="00810ADE" w:rsidRPr="00992F78">
              <w:rPr>
                <w:rFonts w:ascii="Arial" w:eastAsia="SimSun" w:hAnsi="Arial" w:cs="Lucida Sans"/>
                <w:kern w:val="3"/>
                <w:sz w:val="18"/>
                <w:szCs w:val="18"/>
                <w:lang w:eastAsia="zh-CN" w:bidi="hi-IN"/>
              </w:rPr>
              <w:br/>
            </w:r>
          </w:p>
        </w:tc>
        <w:tc>
          <w:tcPr>
            <w:tcW w:w="1175" w:type="dxa"/>
            <w:tcBorders>
              <w:left w:val="single" w:sz="2" w:space="0" w:color="000000"/>
              <w:bottom w:val="single" w:sz="2" w:space="0" w:color="000000"/>
            </w:tcBorders>
            <w:tcMar>
              <w:top w:w="55" w:type="dxa"/>
              <w:left w:w="55" w:type="dxa"/>
              <w:bottom w:w="55" w:type="dxa"/>
              <w:right w:w="55" w:type="dxa"/>
            </w:tcMar>
          </w:tcPr>
          <w:p w14:paraId="559E945F" w14:textId="4D4E340E" w:rsidR="00175576" w:rsidRDefault="00EE5F38">
            <w:pPr>
              <w:widowControl w:val="0"/>
              <w:suppressLineNumbers/>
              <w:spacing w:after="0" w:line="240" w:lineRule="auto"/>
              <w:jc w:val="right"/>
              <w:rPr>
                <w:rFonts w:ascii="Arial" w:eastAsia="SimSun" w:hAnsi="Arial" w:cs="Lucida Sans"/>
                <w:kern w:val="3"/>
                <w:sz w:val="18"/>
                <w:szCs w:val="18"/>
                <w:lang w:eastAsia="zh-CN" w:bidi="hi-IN"/>
              </w:rPr>
            </w:pPr>
            <w:r>
              <w:rPr>
                <w:rFonts w:ascii="Arial" w:eastAsia="SimSun" w:hAnsi="Arial" w:cs="Lucida Sans"/>
                <w:kern w:val="3"/>
                <w:sz w:val="18"/>
                <w:szCs w:val="18"/>
                <w:lang w:eastAsia="zh-CN" w:bidi="hi-IN"/>
              </w:rPr>
              <w:t>483.799,18</w:t>
            </w:r>
            <w:r w:rsidR="00810ADE">
              <w:rPr>
                <w:rFonts w:ascii="Arial" w:eastAsia="SimSun" w:hAnsi="Arial" w:cs="Lucida Sans"/>
                <w:kern w:val="3"/>
                <w:sz w:val="18"/>
                <w:szCs w:val="18"/>
                <w:lang w:eastAsia="zh-CN" w:bidi="hi-IN"/>
              </w:rPr>
              <w:t xml:space="preserve"> €</w:t>
            </w:r>
          </w:p>
        </w:tc>
        <w:tc>
          <w:tcPr>
            <w:tcW w:w="2700" w:type="dxa"/>
            <w:tcBorders>
              <w:left w:val="single" w:sz="2" w:space="0" w:color="000000"/>
              <w:bottom w:val="single" w:sz="2" w:space="0" w:color="000000"/>
            </w:tcBorders>
            <w:tcMar>
              <w:top w:w="55" w:type="dxa"/>
              <w:left w:w="55" w:type="dxa"/>
              <w:bottom w:w="55" w:type="dxa"/>
              <w:right w:w="55" w:type="dxa"/>
            </w:tcMar>
          </w:tcPr>
          <w:p w14:paraId="752AEF55" w14:textId="77777777" w:rsidR="00175576" w:rsidRDefault="00EE5F38">
            <w:pPr>
              <w:widowControl w:val="0"/>
              <w:suppressLineNumbers/>
              <w:spacing w:after="0" w:line="240" w:lineRule="auto"/>
              <w:rPr>
                <w:rFonts w:ascii="Arial" w:eastAsia="SimSun" w:hAnsi="Arial" w:cs="Lucida Sans"/>
                <w:kern w:val="3"/>
                <w:sz w:val="18"/>
                <w:szCs w:val="18"/>
                <w:lang w:eastAsia="zh-CN" w:bidi="hi-IN"/>
              </w:rPr>
            </w:pPr>
            <w:r w:rsidRPr="00EE5F38">
              <w:rPr>
                <w:rFonts w:ascii="Arial" w:eastAsia="SimSun" w:hAnsi="Arial" w:cs="Lucida Sans"/>
                <w:kern w:val="3"/>
                <w:sz w:val="18"/>
                <w:szCs w:val="18"/>
                <w:lang w:eastAsia="zh-CN" w:bidi="hi-IN"/>
              </w:rPr>
              <w:t xml:space="preserve">“Línea </w:t>
            </w:r>
            <w:proofErr w:type="spellStart"/>
            <w:r w:rsidRPr="00EE5F38">
              <w:rPr>
                <w:rFonts w:ascii="Arial" w:eastAsia="SimSun" w:hAnsi="Arial" w:cs="Lucida Sans"/>
                <w:kern w:val="3"/>
                <w:sz w:val="18"/>
                <w:szCs w:val="18"/>
                <w:lang w:eastAsia="zh-CN" w:bidi="hi-IN"/>
              </w:rPr>
              <w:t>Covid</w:t>
            </w:r>
            <w:proofErr w:type="spellEnd"/>
            <w:r w:rsidRPr="00EE5F38">
              <w:rPr>
                <w:rFonts w:ascii="Arial" w:eastAsia="SimSun" w:hAnsi="Arial" w:cs="Lucida Sans"/>
                <w:kern w:val="3"/>
                <w:sz w:val="18"/>
                <w:szCs w:val="18"/>
                <w:lang w:eastAsia="zh-CN" w:bidi="hi-IN"/>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p>
          <w:p w14:paraId="0B2C8C0A" w14:textId="77777777" w:rsidR="00EE5F38" w:rsidRPr="00EE5F38" w:rsidRDefault="00EE5F38" w:rsidP="00EE5F38">
            <w:pPr>
              <w:spacing w:before="2"/>
              <w:jc w:val="both"/>
              <w:rPr>
                <w:rFonts w:ascii="Arial" w:eastAsia="SimSun" w:hAnsi="Arial" w:cs="Lucida Sans"/>
                <w:kern w:val="3"/>
                <w:sz w:val="18"/>
                <w:szCs w:val="18"/>
                <w:lang w:eastAsia="zh-CN" w:bidi="hi-IN"/>
              </w:rPr>
            </w:pPr>
            <w:r w:rsidRPr="00EE5F38">
              <w:rPr>
                <w:rFonts w:ascii="Arial" w:eastAsia="SimSun" w:hAnsi="Arial" w:cs="Lucida Sans"/>
                <w:kern w:val="3"/>
                <w:sz w:val="18"/>
                <w:szCs w:val="18"/>
                <w:lang w:eastAsia="zh-CN" w:bidi="hi-IN"/>
              </w:rPr>
              <w:t>Línea 2: Personas autónomas (empresarias o profesionales), empresas y grupos de empresas cuyo volumen de operaciones anual declarado o comprobado por la Administración en el Impuesto General Indirecto Canario (IGIC) y, en su caso, en el Impuesto Sobre el Valor Añadido (IVA), en 2020 haya caído más de un 30% con respecto a 2019.</w:t>
            </w:r>
          </w:p>
          <w:p w14:paraId="47050E5C" w14:textId="77777777" w:rsidR="00EE5F38" w:rsidRPr="00EE5F38" w:rsidRDefault="00EE5F38" w:rsidP="00EE5F38">
            <w:pPr>
              <w:pStyle w:val="Textoindependiente"/>
              <w:jc w:val="both"/>
              <w:rPr>
                <w:rFonts w:ascii="Arial" w:eastAsia="SimSun" w:hAnsi="Arial" w:cs="Lucida Sans"/>
                <w:kern w:val="3"/>
                <w:sz w:val="18"/>
                <w:szCs w:val="18"/>
                <w:lang w:eastAsia="zh-CN" w:bidi="hi-IN"/>
              </w:rPr>
            </w:pPr>
          </w:p>
          <w:p w14:paraId="3FAEE42B" w14:textId="56FAF8E3" w:rsidR="00EE5F38" w:rsidRPr="00EE5F38" w:rsidRDefault="00EE5F38">
            <w:pPr>
              <w:widowControl w:val="0"/>
              <w:suppressLineNumbers/>
              <w:spacing w:after="0" w:line="240" w:lineRule="auto"/>
              <w:rPr>
                <w:rFonts w:ascii="Arial" w:eastAsia="SimSun" w:hAnsi="Arial" w:cs="Lucida Sans"/>
                <w:kern w:val="3"/>
                <w:sz w:val="18"/>
                <w:szCs w:val="18"/>
                <w:lang w:eastAsia="zh-CN" w:bidi="hi-IN"/>
              </w:rPr>
            </w:pPr>
          </w:p>
        </w:tc>
        <w:tc>
          <w:tcPr>
            <w:tcW w:w="56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740F6D" w14:textId="0B841FAC" w:rsidR="00175576" w:rsidRPr="00992F78" w:rsidRDefault="00B054FF" w:rsidP="00992F78">
            <w:pPr>
              <w:suppressAutoHyphens w:val="0"/>
              <w:autoSpaceDE w:val="0"/>
              <w:adjustRightInd w:val="0"/>
              <w:spacing w:after="0" w:line="240" w:lineRule="auto"/>
              <w:textAlignment w:val="auto"/>
              <w:rPr>
                <w:rFonts w:ascii="ArialMT" w:eastAsia="Times New Roman" w:hAnsi="ArialMT" w:cs="ArialMT"/>
                <w:sz w:val="17"/>
                <w:szCs w:val="17"/>
                <w:lang w:eastAsia="es-ES"/>
              </w:rPr>
            </w:pPr>
            <w:r>
              <w:rPr>
                <w:rFonts w:ascii="ArialMT" w:eastAsia="Times New Roman" w:hAnsi="ArialMT" w:cs="ArialMT"/>
                <w:sz w:val="17"/>
                <w:szCs w:val="17"/>
                <w:lang w:eastAsia="es-ES"/>
              </w:rPr>
              <w:t>A</w:t>
            </w:r>
            <w:r>
              <w:rPr>
                <w:rFonts w:ascii="ArialMT" w:eastAsia="Times New Roman" w:hAnsi="ArialMT" w:cs="ArialMT"/>
                <w:sz w:val="17"/>
                <w:szCs w:val="17"/>
                <w:lang w:eastAsia="es-ES"/>
              </w:rPr>
              <w:t xml:space="preserve">yuda </w:t>
            </w:r>
            <w:r w:rsidR="00992F78">
              <w:rPr>
                <w:rFonts w:ascii="ArialMT" w:eastAsia="Times New Roman" w:hAnsi="ArialMT" w:cs="ArialMT"/>
                <w:sz w:val="17"/>
                <w:szCs w:val="17"/>
                <w:lang w:eastAsia="es-ES"/>
              </w:rPr>
              <w:t xml:space="preserve">directa </w:t>
            </w:r>
            <w:r>
              <w:rPr>
                <w:rFonts w:ascii="ArialMT" w:eastAsia="Times New Roman" w:hAnsi="ArialMT" w:cs="ArialMT"/>
                <w:sz w:val="17"/>
                <w:szCs w:val="17"/>
                <w:lang w:eastAsia="es-ES"/>
              </w:rPr>
              <w:t>de apoyo a la solvencia empresarial en respuesta a la pandemia</w:t>
            </w:r>
            <w:r w:rsidR="00992F78">
              <w:rPr>
                <w:rFonts w:ascii="ArialMT" w:eastAsia="Times New Roman" w:hAnsi="ArialMT" w:cs="ArialMT"/>
                <w:sz w:val="17"/>
                <w:szCs w:val="17"/>
                <w:lang w:eastAsia="es-ES"/>
              </w:rPr>
              <w:t xml:space="preserve"> </w:t>
            </w:r>
            <w:r>
              <w:rPr>
                <w:rFonts w:ascii="ArialMT" w:eastAsia="Times New Roman" w:hAnsi="ArialMT" w:cs="ArialMT"/>
                <w:sz w:val="17"/>
                <w:szCs w:val="17"/>
                <w:lang w:eastAsia="es-ES"/>
              </w:rPr>
              <w:t>de la COVID-19</w:t>
            </w:r>
            <w:r w:rsidR="00992F78">
              <w:rPr>
                <w:rFonts w:ascii="ArialMT" w:eastAsia="Times New Roman" w:hAnsi="ArialMT" w:cs="ArialMT"/>
                <w:sz w:val="17"/>
                <w:szCs w:val="17"/>
                <w:lang w:eastAsia="es-ES"/>
              </w:rPr>
              <w:t>.</w:t>
            </w:r>
          </w:p>
        </w:tc>
      </w:tr>
    </w:tbl>
    <w:p w14:paraId="1777EB27" w14:textId="77777777" w:rsidR="00175576" w:rsidRDefault="00175576">
      <w:pPr>
        <w:rPr>
          <w:rFonts w:ascii="Arial" w:hAnsi="Arial" w:cs="Arial"/>
        </w:rPr>
      </w:pPr>
    </w:p>
    <w:sectPr w:rsidR="00175576">
      <w:headerReference w:type="default" r:id="rId6"/>
      <w:footerReference w:type="default" r:id="rId7"/>
      <w:pgSz w:w="16820" w:h="11900" w:orient="landscape"/>
      <w:pgMar w:top="1276" w:right="1134" w:bottom="1276" w:left="1134" w:header="51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9AC9" w14:textId="77777777" w:rsidR="00810ADE" w:rsidRDefault="00810ADE">
      <w:pPr>
        <w:spacing w:after="0" w:line="240" w:lineRule="auto"/>
      </w:pPr>
      <w:r>
        <w:separator/>
      </w:r>
    </w:p>
  </w:endnote>
  <w:endnote w:type="continuationSeparator" w:id="0">
    <w:p w14:paraId="4F8ECFF0" w14:textId="77777777" w:rsidR="00810ADE" w:rsidRDefault="0081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16AD" w14:textId="77777777" w:rsidR="00513169" w:rsidRDefault="00810ADE">
    <w:pPr>
      <w:pStyle w:val="Piedepgina"/>
      <w:jc w:val="both"/>
    </w:pPr>
    <w:r>
      <w:rPr>
        <w:noProof/>
      </w:rPr>
      <w:drawing>
        <wp:anchor distT="0" distB="0" distL="114300" distR="114300" simplePos="0" relativeHeight="251661312" behindDoc="0" locked="0" layoutInCell="1" allowOverlap="1" wp14:anchorId="17998904" wp14:editId="782A2987">
          <wp:simplePos x="0" y="0"/>
          <wp:positionH relativeFrom="column">
            <wp:posOffset>-40680</wp:posOffset>
          </wp:positionH>
          <wp:positionV relativeFrom="paragraph">
            <wp:posOffset>426240</wp:posOffset>
          </wp:positionV>
          <wp:extent cx="9396000" cy="167040"/>
          <wp:effectExtent l="0" t="0" r="0" b="4410"/>
          <wp:wrapSquare wrapText="bothSides"/>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96000" cy="167040"/>
                  </a:xfrm>
                  <a:prstGeom prst="rect">
                    <a:avLst/>
                  </a:prstGeom>
                  <a:noFill/>
                  <a:ln>
                    <a:noFill/>
                    <a:prstDash/>
                  </a:ln>
                </pic:spPr>
              </pic:pic>
            </a:graphicData>
          </a:graphic>
        </wp:anchor>
      </w:drawing>
    </w:r>
    <w:r>
      <w:rPr>
        <w:rFonts w:ascii="Verdana" w:hAnsi="Verdana"/>
        <w:color w:val="7F7F7F"/>
        <w:sz w:val="12"/>
        <w:szCs w:val="12"/>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1DA5" w14:textId="77777777" w:rsidR="00810ADE" w:rsidRDefault="00810ADE">
      <w:pPr>
        <w:spacing w:after="0" w:line="240" w:lineRule="auto"/>
      </w:pPr>
      <w:r>
        <w:rPr>
          <w:color w:val="000000"/>
        </w:rPr>
        <w:separator/>
      </w:r>
    </w:p>
  </w:footnote>
  <w:footnote w:type="continuationSeparator" w:id="0">
    <w:p w14:paraId="4091D404" w14:textId="77777777" w:rsidR="00810ADE" w:rsidRDefault="0081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E1A7" w14:textId="664640AE" w:rsidR="00513169" w:rsidRDefault="00977614">
    <w:pPr>
      <w:pStyle w:val="Heading"/>
      <w:tabs>
        <w:tab w:val="left" w:pos="5403"/>
      </w:tabs>
    </w:pPr>
    <w:r>
      <w:rPr>
        <w:noProof/>
      </w:rPr>
      <w:drawing>
        <wp:inline distT="0" distB="0" distL="0" distR="0" wp14:anchorId="302C47BA" wp14:editId="38612DC0">
          <wp:extent cx="1990725" cy="1019175"/>
          <wp:effectExtent l="0" t="0" r="9525" b="9525"/>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90725"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5576"/>
    <w:rsid w:val="00175576"/>
    <w:rsid w:val="00810ADE"/>
    <w:rsid w:val="00977614"/>
    <w:rsid w:val="00992F78"/>
    <w:rsid w:val="00B054FF"/>
    <w:rsid w:val="00EE5F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A25F"/>
  <w15:docId w15:val="{A9898809-92DC-4DE4-90BE-720785C9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uiPriority w:val="9"/>
    <w:qFormat/>
    <w:pPr>
      <w:keepNext/>
      <w:spacing w:after="0" w:line="240" w:lineRule="auto"/>
      <w:jc w:val="center"/>
      <w:outlineLvl w:val="0"/>
    </w:pPr>
    <w:rPr>
      <w:rFonts w:ascii="Century Gothic" w:eastAsia="Times New Roman" w:hAnsi="Century Gothic" w:cs="Times New Roman"/>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after="200" w:line="276" w:lineRule="auto"/>
    </w:pPr>
    <w:rPr>
      <w:rFonts w:ascii="Calibri" w:eastAsia="Calibri" w:hAnsi="Calibri" w:cs="Calibri"/>
      <w:kern w:val="3"/>
      <w:sz w:val="22"/>
      <w:szCs w:val="22"/>
      <w:lang w:eastAsia="zh-CN"/>
    </w:rPr>
  </w:style>
  <w:style w:type="paragraph" w:styleId="Textodeglobo">
    <w:name w:val="Balloon Text"/>
    <w:basedOn w:val="Normal"/>
    <w:pPr>
      <w:spacing w:after="0" w:line="240" w:lineRule="auto"/>
    </w:pPr>
    <w:rPr>
      <w:rFonts w:ascii="Tahoma" w:hAnsi="Tahoma" w:cs="Tahoma"/>
      <w:sz w:val="16"/>
      <w:szCs w:val="16"/>
    </w:rPr>
  </w:style>
  <w:style w:type="paragraph" w:customStyle="1" w:styleId="Heading">
    <w:name w:val="Heading"/>
    <w:basedOn w:val="Normal"/>
    <w:pPr>
      <w:spacing w:after="0" w:line="240" w:lineRule="auto"/>
    </w:pPr>
  </w:style>
  <w:style w:type="paragraph" w:customStyle="1" w:styleId="Textbody">
    <w:name w:val="Text body"/>
    <w:basedOn w:val="Standard"/>
    <w:pPr>
      <w:spacing w:after="120"/>
    </w:pPr>
  </w:style>
  <w:style w:type="paragraph" w:styleId="Lista">
    <w:name w:val="List"/>
    <w:basedOn w:val="Textoindependiente"/>
    <w:rPr>
      <w:rFonts w:cs="Tahoma"/>
    </w:rPr>
  </w:style>
  <w:style w:type="paragraph" w:styleId="Textoindependiente">
    <w:name w:val="Body Text"/>
    <w:basedOn w:val="Normal"/>
    <w:pPr>
      <w:spacing w:after="120"/>
    </w:pPr>
  </w:style>
  <w:style w:type="paragraph" w:styleId="Piedepgina">
    <w:name w:val="footer"/>
    <w:basedOn w:val="Normal"/>
    <w:pPr>
      <w:spacing w:after="0" w:line="240" w:lineRule="auto"/>
    </w:p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Descripci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Standard"/>
    <w:pPr>
      <w:widowControl w:val="0"/>
      <w:suppressLineNumbers/>
      <w:spacing w:after="0" w:line="240" w:lineRule="auto"/>
    </w:pPr>
    <w:rPr>
      <w:rFonts w:ascii="Times New Roman" w:eastAsia="SimSun" w:hAnsi="Times New Roman" w:cs="Lucida Sans"/>
      <w:sz w:val="24"/>
      <w:szCs w:val="24"/>
      <w:lang w:bidi="hi-IN"/>
    </w:r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paragraph" w:styleId="Prrafodelista">
    <w:name w:val="List Paragraph"/>
    <w:basedOn w:val="Normal"/>
    <w:pPr>
      <w:ind w:left="720"/>
    </w:pPr>
  </w:style>
  <w:style w:type="paragraph" w:customStyle="1" w:styleId="Textoindependiente21">
    <w:name w:val="Texto independiente 21"/>
    <w:basedOn w:val="Normal"/>
    <w:pPr>
      <w:spacing w:after="0" w:line="240" w:lineRule="auto"/>
    </w:pPr>
    <w:rPr>
      <w:rFonts w:ascii="Times New Roman" w:eastAsia="Times New Roman" w:hAnsi="Times New Roman" w:cs="Times New Roman"/>
      <w:b/>
      <w:sz w:val="28"/>
      <w:szCs w:val="20"/>
      <w:lang w:eastAsia="es-ES"/>
    </w:rPr>
  </w:style>
  <w:style w:type="paragraph" w:customStyle="1" w:styleId="Default">
    <w:name w:val="Default"/>
    <w:pPr>
      <w:suppressAutoHyphens/>
      <w:autoSpaceDE w:val="0"/>
      <w:spacing w:after="0" w:line="240" w:lineRule="auto"/>
    </w:pPr>
    <w:rPr>
      <w:rFonts w:ascii="Verdana" w:eastAsia="Calibri" w:hAnsi="Verdana" w:cs="Verdana"/>
      <w:color w:val="000000"/>
      <w:sz w:val="24"/>
      <w:szCs w:val="24"/>
      <w:lang w:eastAsia="en-US"/>
    </w:rPr>
  </w:style>
  <w:style w:type="paragraph" w:styleId="Encabezado">
    <w:name w:val="header"/>
    <w:basedOn w:val="Standard"/>
    <w:pPr>
      <w:suppressLineNumbers/>
      <w:tabs>
        <w:tab w:val="center" w:pos="4819"/>
        <w:tab w:val="right" w:pos="9638"/>
      </w:tabs>
    </w:p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Tahoma" w:hAnsi="Tahoma" w:cs="Tahoma"/>
      <w:sz w:val="16"/>
      <w:szCs w:val="16"/>
    </w:rPr>
  </w:style>
  <w:style w:type="character" w:customStyle="1" w:styleId="Ttulo1Car">
    <w:name w:val="Título 1 Car"/>
    <w:basedOn w:val="Fuentedeprrafopredeter"/>
    <w:rPr>
      <w:rFonts w:ascii="Century Gothic" w:hAnsi="Century Gothic"/>
      <w:b/>
      <w:sz w:val="24"/>
      <w:u w:val="single"/>
    </w:rPr>
  </w:style>
  <w:style w:type="character" w:customStyle="1" w:styleId="EstiloA3">
    <w:name w:val="Estilo A3"/>
    <w:rPr>
      <w:rFonts w:ascii="Trebuchet MS" w:hAnsi="Trebuchet MS"/>
      <w:color w:val="000000"/>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AYUDAS%20Y%20SUBVENCIONES%201.odt/Plantilla%20fa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Plantilla%20fax</Template>
  <TotalTime>3</TotalTime>
  <Pages>1</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dc:description/>
  <cp:lastModifiedBy>Rafael Pineda Hernández</cp:lastModifiedBy>
  <cp:revision>2</cp:revision>
  <cp:lastPrinted>2020-06-09T11:16:00Z</cp:lastPrinted>
  <dcterms:created xsi:type="dcterms:W3CDTF">2022-06-28T09:21:00Z</dcterms:created>
  <dcterms:modified xsi:type="dcterms:W3CDTF">2022-06-28T09:21:00Z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3082-10.1.0.5671</vt:lpwstr>
  </property>
</Properties>
</file>